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0E1A2B"/>
          <w:sz w:val="44"/>
        </w:rPr>
        <w:t>Nota SOAP para reembolso</w:t>
      </w:r>
    </w:p>
    <w:p>
      <w:pPr>
        <w:spacing w:after="320"/>
      </w:pPr>
      <w:r>
        <w:rPr>
          <w:color w:val="55647A"/>
          <w:sz w:val="22"/>
        </w:rPr>
        <w:t>Masaje terapéutico y quiropraxia  ·  la documentación que la aseguradora acepta</w:t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QUÉ MIRA QUIEN APRUEBA EL PAGO</w:t>
      </w:r>
    </w:p>
    <w:p>
      <w:r>
        <w:rPr>
          <w:i w:val="0"/>
          <w:color w:val="55647A"/>
          <w:sz w:val="20"/>
        </w:rPr>
        <w:t>Un reembolso no se rechaza por la técnica que aplicaste, sino porque falta la necesidad clínica por escrito. Los cuatro elementos de abajo son los que se revisan.</w:t>
      </w:r>
    </w:p>
    <w:p>
      <w:pPr>
        <w:pStyle w:val="ListBullet"/>
        <w:spacing w:after="60"/>
      </w:pPr>
      <w:r>
        <w:rPr>
          <w:sz w:val="21"/>
        </w:rPr>
        <w:t>Necesidad clínica: por qué este tratamiento y no otro</w:t>
      </w:r>
    </w:p>
    <w:p>
      <w:pPr>
        <w:pStyle w:val="ListBullet"/>
        <w:spacing w:after="60"/>
      </w:pPr>
      <w:r>
        <w:rPr>
          <w:sz w:val="21"/>
        </w:rPr>
        <w:t>Medidas objetivas antes y después</w:t>
      </w:r>
    </w:p>
    <w:p>
      <w:pPr>
        <w:pStyle w:val="ListBullet"/>
        <w:spacing w:after="60"/>
      </w:pPr>
      <w:r>
        <w:rPr>
          <w:sz w:val="21"/>
        </w:rPr>
        <w:t>Respuesta al tratamiento entre sesiones</w:t>
      </w:r>
    </w:p>
    <w:p>
      <w:pPr>
        <w:pStyle w:val="ListBullet"/>
        <w:spacing w:after="60"/>
      </w:pPr>
      <w:r>
        <w:rPr>
          <w:sz w:val="21"/>
        </w:rPr>
        <w:t>Plan con fin previsto: cuántas sesiones y hasta cuándo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96"/>
        <w:gridCol w:w="2296"/>
        <w:gridCol w:w="2296"/>
        <w:gridCol w:w="2296"/>
      </w:tblGrid>
      <w:tr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Alias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Fecha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N.º sesión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Derivado por</w:t>
            </w:r>
          </w:p>
        </w:tc>
      </w:tr>
      <w:tr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E8620C"/>
          </w:tcPr>
          <w:p>
            <w:r>
              <w:rPr>
                <w:b/>
                <w:color w:val="FFFFFF"/>
                <w:sz w:val="22"/>
              </w:rPr>
              <w:t xml:space="preserve">  S  ·  SUBJETIVO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Zona y tipo de dolor. EVA 0-10. Qué actividad de la vida diaria está limitada (dormir, conducir, trabajar). Cambios desde la última sesión.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2E5C98"/>
          </w:tcPr>
          <w:p>
            <w:r>
              <w:rPr>
                <w:b/>
                <w:color w:val="FFFFFF"/>
                <w:sz w:val="22"/>
              </w:rPr>
              <w:t xml:space="preserve">  O  ·  OBJETIVO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Palpación: tono, puntos gatillo, zonas de restricción. Rango de movimiento en grados. Postura. Pruebas ortopédicas si aplican. Mediciones ANTES y DESPUÉS de la sesión.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7A5AA8"/>
          </w:tcPr>
          <w:p>
            <w:r>
              <w:rPr>
                <w:b/>
                <w:color w:val="FFFFFF"/>
                <w:sz w:val="22"/>
              </w:rPr>
              <w:t xml:space="preserve">  A  ·  EVALUACIÓN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Respuesta al tratamiento. Progreso frente al objetivo funcional. Justificación de continuar: qué falta por conseguir.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12A150"/>
          </w:tcPr>
          <w:p>
            <w:r>
              <w:rPr>
                <w:b/>
                <w:color w:val="FFFFFF"/>
                <w:sz w:val="22"/>
              </w:rPr>
              <w:t xml:space="preserve">  P  ·  PLAN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Técnicas aplicadas y duración de cada una. Frecuencia recomendada. Ejercicios o pautas para casa. Número estimado de sesiones restantes y criterio de alta.</w:t>
            </w:r>
          </w:p>
          <w:p/>
          <w:p/>
          <w:p/>
          <w:p/>
        </w:tc>
      </w:tr>
    </w:tbl>
    <w:p/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LAS FRASES QUE HUNDEN UN REEMBOLSO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92"/>
        <w:gridCol w:w="4592"/>
      </w:tblGrid>
      <w:tr>
        <w:tc>
          <w:tcPr>
            <w:tcW w:type="dxa" w:w="4592"/>
            <w:shd w:val="clear" w:fill="F6F8FC"/>
          </w:tcPr>
          <w:p>
            <w:r>
              <w:rPr>
                <w:b/>
                <w:color w:val="55647A"/>
                <w:sz w:val="18"/>
              </w:rPr>
              <w:t>No escribas</w:t>
            </w:r>
          </w:p>
        </w:tc>
        <w:tc>
          <w:tcPr>
            <w:tcW w:type="dxa" w:w="4592"/>
            <w:shd w:val="clear" w:fill="F6F8FC"/>
          </w:tcPr>
          <w:p>
            <w:r>
              <w:rPr>
                <w:b/>
                <w:color w:val="55647A"/>
                <w:sz w:val="18"/>
              </w:rPr>
              <w:t>Escribe</w:t>
            </w:r>
          </w:p>
        </w:tc>
      </w:tr>
      <w:tr>
        <w:tc>
          <w:tcPr>
            <w:tcW w:type="dxa" w:w="4592"/>
          </w:tcPr>
          <w:p>
            <w:r>
              <w:rPr>
                <w:color w:val="B03A3A"/>
                <w:sz w:val="19"/>
              </w:rPr>
              <w:t>«Masaje relajante»</w:t>
            </w:r>
          </w:p>
        </w:tc>
        <w:tc>
          <w:tcPr>
            <w:tcW w:type="dxa" w:w="4592"/>
          </w:tcPr>
          <w:p>
            <w:r>
              <w:rPr>
                <w:color w:val="1A7A45"/>
                <w:sz w:val="19"/>
              </w:rPr>
              <w:t>«Liberación miofascial de trapecio superior, 15 min»</w:t>
            </w:r>
          </w:p>
        </w:tc>
      </w:tr>
      <w:tr>
        <w:tc>
          <w:tcPr>
            <w:tcW w:type="dxa" w:w="4592"/>
          </w:tcPr>
          <w:p>
            <w:r>
              <w:rPr>
                <w:color w:val="B03A3A"/>
                <w:sz w:val="19"/>
              </w:rPr>
              <w:t>«El paciente se siente mejor»</w:t>
            </w:r>
          </w:p>
        </w:tc>
        <w:tc>
          <w:tcPr>
            <w:tcW w:type="dxa" w:w="4592"/>
          </w:tcPr>
          <w:p>
            <w:r>
              <w:rPr>
                <w:color w:val="1A7A45"/>
                <w:sz w:val="19"/>
              </w:rPr>
              <w:t>«EVA de 7 a 4. Flexión cervical de 30 a 45 grados»</w:t>
            </w:r>
          </w:p>
        </w:tc>
      </w:tr>
      <w:tr>
        <w:tc>
          <w:tcPr>
            <w:tcW w:type="dxa" w:w="4592"/>
          </w:tcPr>
          <w:p>
            <w:r>
              <w:rPr>
                <w:color w:val="B03A3A"/>
                <w:sz w:val="19"/>
              </w:rPr>
              <w:t>«Continuar tratamiento»</w:t>
            </w:r>
          </w:p>
        </w:tc>
        <w:tc>
          <w:tcPr>
            <w:tcW w:type="dxa" w:w="4592"/>
          </w:tcPr>
          <w:p>
            <w:r>
              <w:rPr>
                <w:color w:val="1A7A45"/>
                <w:sz w:val="19"/>
              </w:rPr>
              <w:t>«4 sesiones más, alta prevista al alcanzar EVA menor que 2»</w:t>
            </w:r>
          </w:p>
        </w:tc>
      </w:tr>
      <w:tr>
        <w:tc>
          <w:tcPr>
            <w:tcW w:type="dxa" w:w="4592"/>
          </w:tcPr>
          <w:p>
            <w:r>
              <w:rPr>
                <w:color w:val="B03A3A"/>
                <w:sz w:val="19"/>
              </w:rPr>
              <w:t>«Tensión general»</w:t>
            </w:r>
          </w:p>
        </w:tc>
        <w:tc>
          <w:tcPr>
            <w:tcW w:type="dxa" w:w="4592"/>
          </w:tcPr>
          <w:p>
            <w:r>
              <w:rPr>
                <w:color w:val="1A7A45"/>
                <w:sz w:val="19"/>
              </w:rPr>
              <w:t>«Punto gatillo activo en trapecio derecho, dolor referido a occipital»</w:t>
            </w:r>
          </w:p>
        </w:tc>
      </w:tr>
    </w:tbl>
    <w:p>
      <w:pPr>
        <w:spacing w:before="320" w:after="120"/>
      </w:pPr>
      <w:r>
        <w:rPr>
          <w:rFonts w:ascii="Calibri" w:hAnsi="Calibri"/>
          <w:b/>
          <w:color w:val="55647A"/>
          <w:sz w:val="20"/>
        </w:rPr>
        <w:t>ANTES DE USARLA</w:t>
      </w:r>
    </w:p>
    <w:p>
      <w:r>
        <w:rPr>
          <w:i/>
          <w:color w:val="55647A"/>
          <w:sz w:val="18"/>
        </w:rPr>
        <w:t>Esta plantilla es una ayuda de redacción, no una guía clínica ni un criterio diagnóstico. Adáptala a la normativa de tu país, a las exigencias de tu colegio profesional y a tu propio criterio. La nota la firmas tú.</w:t>
      </w:r>
    </w:p>
    <w:p/>
    <w:p>
      <w:pPr>
        <w:jc w:val="center"/>
      </w:pPr>
      <w:r>
        <w:rPr>
          <w:b/>
          <w:color w:val="2E5C98"/>
          <w:sz w:val="18"/>
        </w:rPr>
        <w:t>Corefide  ·  corefide.com</w:t>
      </w:r>
    </w:p>
    <w:p>
      <w:pPr>
        <w:jc w:val="center"/>
      </w:pPr>
      <w:r>
        <w:rPr>
          <w:color w:val="55647A"/>
          <w:sz w:val="16"/>
        </w:rPr>
        <w:t>Los requisitos varían por aseguradora y por país. Confirma los tuyos.</w:t>
      </w:r>
    </w:p>
    <w:sectPr w:rsidR="00FC693F" w:rsidRPr="0006063C" w:rsidSect="00034616">
      <w:pgSz w:w="11906" w:h="16838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 w:eastAsia="Calibri"/>
      <w:color w:val="0E1A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