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b/>
          <w:color w:val="0E1A2B"/>
          <w:sz w:val="44"/>
        </w:rPr>
        <w:t>Hoja de evolución comparable</w:t>
      </w:r>
    </w:p>
    <w:p>
      <w:pPr>
        <w:spacing w:after="320"/>
      </w:pPr>
      <w:r>
        <w:rPr>
          <w:color w:val="55647A"/>
          <w:sz w:val="22"/>
        </w:rPr>
        <w:t>Fisioterapia y kinesiologia  ·  para que la sesión 1 y la sesión 10 se puedan comparar</w:t>
      </w:r>
    </w:p>
    <w:p>
      <w:pPr>
        <w:spacing w:before="320" w:after="120"/>
      </w:pPr>
      <w:r>
        <w:rPr>
          <w:rFonts w:ascii="Calibri" w:hAnsi="Calibri"/>
          <w:b/>
          <w:color w:val="E8620C"/>
          <w:sz w:val="20"/>
        </w:rPr>
        <w:t>POR QUÉ ESTA HOJA TIENE ESTA FORMA</w:t>
      </w:r>
    </w:p>
    <w:p>
      <w:r>
        <w:rPr>
          <w:i w:val="0"/>
          <w:color w:val="55647A"/>
          <w:sz w:val="20"/>
        </w:rPr>
        <w:t>El problema de las notas de fisioterapia no es escribirlas: es que a las seis semanas no puedes demostrar la mejoría porque cada nota mide cosas distintas. Esta hoja fija las mismas variables en todas las sesiones. Ahí está el valor, no en la redacción.</w:t>
      </w:r>
    </w:p>
    <w:tbl>
      <w:tblPr>
        <w:tblStyle w:val="TableGrid"/>
        <w:tblW w:type="auto" w:w="0"/>
        <w:tblLook w:firstColumn="1" w:firstRow="1" w:lastColumn="0" w:lastRow="0" w:noHBand="0" w:noVBand="1" w:val="04A0"/>
      </w:tblPr>
      <w:tblGrid>
        <w:gridCol w:w="2296"/>
        <w:gridCol w:w="2296"/>
        <w:gridCol w:w="2296"/>
        <w:gridCol w:w="2296"/>
      </w:tblGrid>
      <w:tr>
        <w:tc>
          <w:tcPr>
            <w:tcW w:type="dxa" w:w="2296"/>
            <w:shd w:val="clear" w:fill="F6F8FC"/>
          </w:tcPr>
          <w:p>
            <w:r>
              <w:rPr>
                <w:b/>
                <w:color w:val="55647A"/>
                <w:sz w:val="17"/>
              </w:rPr>
              <w:t>Alias</w:t>
            </w:r>
          </w:p>
        </w:tc>
        <w:tc>
          <w:tcPr>
            <w:tcW w:type="dxa" w:w="2296"/>
            <w:shd w:val="clear" w:fill="F6F8FC"/>
          </w:tcPr>
          <w:p>
            <w:r>
              <w:rPr>
                <w:b/>
                <w:color w:val="55647A"/>
                <w:sz w:val="17"/>
              </w:rPr>
              <w:t>N.º sesión</w:t>
            </w:r>
          </w:p>
        </w:tc>
        <w:tc>
          <w:tcPr>
            <w:tcW w:type="dxa" w:w="2296"/>
            <w:shd w:val="clear" w:fill="F6F8FC"/>
          </w:tcPr>
          <w:p>
            <w:r>
              <w:rPr>
                <w:b/>
                <w:color w:val="55647A"/>
                <w:sz w:val="17"/>
              </w:rPr>
              <w:t>Fecha</w:t>
            </w:r>
          </w:p>
        </w:tc>
        <w:tc>
          <w:tcPr>
            <w:tcW w:type="dxa" w:w="2296"/>
            <w:shd w:val="clear" w:fill="F6F8FC"/>
          </w:tcPr>
          <w:p>
            <w:r>
              <w:rPr>
                <w:b/>
                <w:color w:val="55647A"/>
                <w:sz w:val="17"/>
              </w:rPr>
              <w:t>Semana de tratamiento</w:t>
            </w:r>
          </w:p>
        </w:tc>
      </w:tr>
      <w:tr>
        <w:tc>
          <w:tcPr>
            <w:tcW w:type="dxa" w:w="2296"/>
          </w:tcPr>
          <w:p>
            <w:r>
              <w:t xml:space="preserve"> </w:t>
            </w:r>
          </w:p>
        </w:tc>
        <w:tc>
          <w:tcPr>
            <w:tcW w:type="dxa" w:w="2296"/>
          </w:tcPr>
          <w:p>
            <w:r>
              <w:t xml:space="preserve"> </w:t>
            </w:r>
          </w:p>
        </w:tc>
        <w:tc>
          <w:tcPr>
            <w:tcW w:type="dxa" w:w="2296"/>
          </w:tcPr>
          <w:p>
            <w:r>
              <w:t xml:space="preserve"> </w:t>
            </w:r>
          </w:p>
        </w:tc>
        <w:tc>
          <w:tcPr>
            <w:tcW w:type="dxa" w:w="2296"/>
          </w:tcPr>
          <w:p>
            <w:r>
              <w:t xml:space="preserve"> </w:t>
            </w:r>
          </w:p>
        </w:tc>
      </w:tr>
    </w:tbl>
    <w:p/>
    <w:tbl>
      <w:tblPr>
        <w:tblStyle w:val="TableGrid"/>
        <w:tblW w:type="auto" w:w="0"/>
        <w:jc w:val="center"/>
        <w:tblLook w:firstColumn="1" w:firstRow="1" w:lastColumn="0" w:lastRow="0" w:noHBand="0" w:noVBand="1" w:val="04A0"/>
      </w:tblPr>
      <w:tblGrid>
        <w:gridCol w:w="9184"/>
      </w:tblGrid>
      <w:tr>
        <w:tc>
          <w:tcPr>
            <w:tcW w:type="dxa" w:w="9184"/>
            <w:shd w:val="clear" w:fill="E8620C"/>
          </w:tcPr>
          <w:p>
            <w:r>
              <w:rPr>
                <w:b/>
                <w:color w:val="FFFFFF"/>
                <w:sz w:val="22"/>
              </w:rPr>
              <w:t xml:space="preserve">  S  ·  SUBJETIVO</w:t>
            </w:r>
          </w:p>
        </w:tc>
      </w:tr>
      <w:tr>
        <w:tc>
          <w:tcPr>
            <w:tcW w:type="dxa" w:w="9184"/>
          </w:tcPr>
          <w:p>
            <w:r>
              <w:rPr>
                <w:i/>
                <w:color w:val="9AA6B4"/>
                <w:sz w:val="17"/>
              </w:rPr>
              <w:t>Dolor EVA 0-10 (reposo / actividad / nocturno). Qué puede hacer hoy que antes no. Qué sigue sin poder hacer. Adherencia a los ejercicios: cuántos días de los pautados.</w:t>
            </w:r>
          </w:p>
          <w:p/>
          <w:p/>
          <w:p/>
          <w:p/>
        </w:tc>
      </w:tr>
    </w:tbl>
    <w:p/>
    <w:p>
      <w:pPr>
        <w:spacing w:before="320" w:after="120"/>
      </w:pPr>
      <w:r>
        <w:rPr>
          <w:rFonts w:ascii="Calibri" w:hAnsi="Calibri"/>
          <w:b/>
          <w:color w:val="2E5C98"/>
          <w:sz w:val="20"/>
        </w:rPr>
        <w:t>OBJETIVO  —  LAS MISMAS MEDIDAS, SIEMPRE</w:t>
      </w:r>
    </w:p>
    <w:tbl>
      <w:tblPr>
        <w:tblStyle w:val="TableGrid"/>
        <w:tblW w:type="auto" w:w="0"/>
        <w:tblLook w:firstColumn="1" w:firstRow="1" w:lastColumn="0" w:lastRow="0" w:noHBand="0" w:noVBand="1" w:val="04A0"/>
      </w:tblPr>
      <w:tblGrid>
        <w:gridCol w:w="2296"/>
        <w:gridCol w:w="2296"/>
        <w:gridCol w:w="2296"/>
        <w:gridCol w:w="2296"/>
      </w:tblGrid>
      <w:tr>
        <w:tc>
          <w:tcPr>
            <w:tcW w:type="dxa" w:w="2296"/>
            <w:shd w:val="clear" w:fill="EBF2FB"/>
          </w:tcPr>
          <w:p>
            <w:r>
              <w:rPr>
                <w:b/>
                <w:color w:val="2E5C98"/>
                <w:sz w:val="18"/>
              </w:rPr>
              <w:t>Medida</w:t>
            </w:r>
          </w:p>
        </w:tc>
        <w:tc>
          <w:tcPr>
            <w:tcW w:type="dxa" w:w="2296"/>
            <w:shd w:val="clear" w:fill="EBF2FB"/>
          </w:tcPr>
          <w:p>
            <w:r>
              <w:rPr>
                <w:b/>
                <w:color w:val="2E5C98"/>
                <w:sz w:val="18"/>
              </w:rPr>
              <w:t>Inicio</w:t>
            </w:r>
          </w:p>
        </w:tc>
        <w:tc>
          <w:tcPr>
            <w:tcW w:type="dxa" w:w="2296"/>
            <w:shd w:val="clear" w:fill="EBF2FB"/>
          </w:tcPr>
          <w:p>
            <w:r>
              <w:rPr>
                <w:b/>
                <w:color w:val="2E5C98"/>
                <w:sz w:val="18"/>
              </w:rPr>
              <w:t>Hoy</w:t>
            </w:r>
          </w:p>
        </w:tc>
        <w:tc>
          <w:tcPr>
            <w:tcW w:type="dxa" w:w="2296"/>
            <w:shd w:val="clear" w:fill="EBF2FB"/>
          </w:tcPr>
          <w:p>
            <w:r>
              <w:rPr>
                <w:b/>
                <w:color w:val="2E5C98"/>
                <w:sz w:val="18"/>
              </w:rPr>
              <w:t>Objetivo</w:t>
            </w:r>
          </w:p>
        </w:tc>
      </w:tr>
      <w:tr>
        <w:tc>
          <w:tcPr>
            <w:tcW w:type="dxa" w:w="2296"/>
          </w:tcPr>
          <w:p>
            <w:r>
              <w:rPr>
                <w:sz w:val="19"/>
              </w:rPr>
              <w:t>Rango articular (grados)</w:t>
            </w:r>
          </w:p>
        </w:tc>
        <w:tc>
          <w:tcPr>
            <w:tcW w:type="dxa" w:w="2296"/>
          </w:tcPr>
          <w:p>
            <w:r>
              <w:t xml:space="preserve"> </w:t>
            </w:r>
          </w:p>
        </w:tc>
        <w:tc>
          <w:tcPr>
            <w:tcW w:type="dxa" w:w="2296"/>
          </w:tcPr>
          <w:p>
            <w:r>
              <w:t xml:space="preserve"> </w:t>
            </w:r>
          </w:p>
        </w:tc>
        <w:tc>
          <w:tcPr>
            <w:tcW w:type="dxa" w:w="2296"/>
          </w:tcPr>
          <w:p>
            <w:r>
              <w:t xml:space="preserve"> </w:t>
            </w:r>
          </w:p>
        </w:tc>
      </w:tr>
      <w:tr>
        <w:tc>
          <w:tcPr>
            <w:tcW w:type="dxa" w:w="2296"/>
          </w:tcPr>
          <w:p>
            <w:r>
              <w:rPr>
                <w:sz w:val="19"/>
              </w:rPr>
              <w:t>Fuerza (0-5 / dinamómetro)</w:t>
            </w:r>
          </w:p>
        </w:tc>
        <w:tc>
          <w:tcPr>
            <w:tcW w:type="dxa" w:w="2296"/>
          </w:tcPr>
          <w:p>
            <w:r>
              <w:t xml:space="preserve"> </w:t>
            </w:r>
          </w:p>
        </w:tc>
        <w:tc>
          <w:tcPr>
            <w:tcW w:type="dxa" w:w="2296"/>
          </w:tcPr>
          <w:p>
            <w:r>
              <w:t xml:space="preserve"> </w:t>
            </w:r>
          </w:p>
        </w:tc>
        <w:tc>
          <w:tcPr>
            <w:tcW w:type="dxa" w:w="2296"/>
          </w:tcPr>
          <w:p>
            <w:r>
              <w:t xml:space="preserve"> </w:t>
            </w:r>
          </w:p>
        </w:tc>
      </w:tr>
      <w:tr>
        <w:tc>
          <w:tcPr>
            <w:tcW w:type="dxa" w:w="2296"/>
          </w:tcPr>
          <w:p>
            <w:r>
              <w:rPr>
                <w:sz w:val="19"/>
              </w:rPr>
              <w:t>Perímetro / edema (cm)</w:t>
            </w:r>
          </w:p>
        </w:tc>
        <w:tc>
          <w:tcPr>
            <w:tcW w:type="dxa" w:w="2296"/>
          </w:tcPr>
          <w:p>
            <w:r>
              <w:t xml:space="preserve"> </w:t>
            </w:r>
          </w:p>
        </w:tc>
        <w:tc>
          <w:tcPr>
            <w:tcW w:type="dxa" w:w="2296"/>
          </w:tcPr>
          <w:p>
            <w:r>
              <w:t xml:space="preserve"> </w:t>
            </w:r>
          </w:p>
        </w:tc>
        <w:tc>
          <w:tcPr>
            <w:tcW w:type="dxa" w:w="2296"/>
          </w:tcPr>
          <w:p>
            <w:r>
              <w:t xml:space="preserve"> </w:t>
            </w:r>
          </w:p>
        </w:tc>
      </w:tr>
      <w:tr>
        <w:tc>
          <w:tcPr>
            <w:tcW w:type="dxa" w:w="2296"/>
          </w:tcPr>
          <w:p>
            <w:r>
              <w:rPr>
                <w:sz w:val="19"/>
              </w:rPr>
              <w:t>Test funcional</w:t>
            </w:r>
          </w:p>
        </w:tc>
        <w:tc>
          <w:tcPr>
            <w:tcW w:type="dxa" w:w="2296"/>
          </w:tcPr>
          <w:p>
            <w:r>
              <w:t xml:space="preserve"> </w:t>
            </w:r>
          </w:p>
        </w:tc>
        <w:tc>
          <w:tcPr>
            <w:tcW w:type="dxa" w:w="2296"/>
          </w:tcPr>
          <w:p>
            <w:r>
              <w:t xml:space="preserve"> </w:t>
            </w:r>
          </w:p>
        </w:tc>
        <w:tc>
          <w:tcPr>
            <w:tcW w:type="dxa" w:w="2296"/>
          </w:tcPr>
          <w:p>
            <w:r>
              <w:t xml:space="preserve"> </w:t>
            </w:r>
          </w:p>
        </w:tc>
      </w:tr>
      <w:tr>
        <w:tc>
          <w:tcPr>
            <w:tcW w:type="dxa" w:w="2296"/>
          </w:tcPr>
          <w:p>
            <w:r>
              <w:rPr>
                <w:sz w:val="19"/>
              </w:rPr>
              <w:t>Dolor EVA</w:t>
            </w:r>
          </w:p>
        </w:tc>
        <w:tc>
          <w:tcPr>
            <w:tcW w:type="dxa" w:w="2296"/>
          </w:tcPr>
          <w:p>
            <w:r>
              <w:t xml:space="preserve"> </w:t>
            </w:r>
          </w:p>
        </w:tc>
        <w:tc>
          <w:tcPr>
            <w:tcW w:type="dxa" w:w="2296"/>
          </w:tcPr>
          <w:p>
            <w:r>
              <w:t xml:space="preserve"> </w:t>
            </w:r>
          </w:p>
        </w:tc>
        <w:tc>
          <w:tcPr>
            <w:tcW w:type="dxa" w:w="2296"/>
          </w:tcPr>
          <w:p>
            <w:r>
              <w:t xml:space="preserve"> </w:t>
            </w:r>
          </w:p>
        </w:tc>
      </w:tr>
    </w:tbl>
    <w:p/>
    <w:p>
      <w:r>
        <w:rPr>
          <w:i/>
          <w:color w:val="55647A"/>
          <w:sz w:val="18"/>
        </w:rPr>
        <w:t>Rellena SIEMPRE las mismas filas aunque no cambien. Una casilla vacía rompe la comparación.</w:t>
      </w:r>
    </w:p>
    <w:tbl>
      <w:tblPr>
        <w:tblStyle w:val="TableGrid"/>
        <w:tblW w:type="auto" w:w="0"/>
        <w:jc w:val="center"/>
        <w:tblLook w:firstColumn="1" w:firstRow="1" w:lastColumn="0" w:lastRow="0" w:noHBand="0" w:noVBand="1" w:val="04A0"/>
      </w:tblPr>
      <w:tblGrid>
        <w:gridCol w:w="9184"/>
      </w:tblGrid>
      <w:tr>
        <w:tc>
          <w:tcPr>
            <w:tcW w:type="dxa" w:w="9184"/>
            <w:shd w:val="clear" w:fill="7A5AA8"/>
          </w:tcPr>
          <w:p>
            <w:r>
              <w:rPr>
                <w:b/>
                <w:color w:val="FFFFFF"/>
                <w:sz w:val="22"/>
              </w:rPr>
              <w:t xml:space="preserve">  A  ·  EVALUACIÓN</w:t>
            </w:r>
          </w:p>
        </w:tc>
      </w:tr>
      <w:tr>
        <w:tc>
          <w:tcPr>
            <w:tcW w:type="dxa" w:w="9184"/>
          </w:tcPr>
          <w:p>
            <w:r>
              <w:rPr>
                <w:i/>
                <w:color w:val="9AA6B4"/>
                <w:sz w:val="17"/>
              </w:rPr>
              <w:t>¿Va según lo esperado para esta fase? Si no, por qué. Obstáculos: dolor, adherencia, factores laborales. ¿Hay que cambiar el plan?</w:t>
            </w:r>
          </w:p>
          <w:p/>
          <w:p/>
          <w:p/>
          <w:p/>
        </w:tc>
      </w:tr>
    </w:tbl>
    <w:p/>
    <w:tbl>
      <w:tblPr>
        <w:tblStyle w:val="TableGrid"/>
        <w:tblW w:type="auto" w:w="0"/>
        <w:jc w:val="center"/>
        <w:tblLook w:firstColumn="1" w:firstRow="1" w:lastColumn="0" w:lastRow="0" w:noHBand="0" w:noVBand="1" w:val="04A0"/>
      </w:tblPr>
      <w:tblGrid>
        <w:gridCol w:w="9184"/>
      </w:tblGrid>
      <w:tr>
        <w:tc>
          <w:tcPr>
            <w:tcW w:type="dxa" w:w="9184"/>
            <w:shd w:val="clear" w:fill="12A150"/>
          </w:tcPr>
          <w:p>
            <w:r>
              <w:rPr>
                <w:b/>
                <w:color w:val="FFFFFF"/>
                <w:sz w:val="22"/>
              </w:rPr>
              <w:t xml:space="preserve">  P  ·  PLAN</w:t>
            </w:r>
          </w:p>
        </w:tc>
      </w:tr>
      <w:tr>
        <w:tc>
          <w:tcPr>
            <w:tcW w:type="dxa" w:w="9184"/>
          </w:tcPr>
          <w:p>
            <w:r>
              <w:rPr>
                <w:i/>
                <w:color w:val="9AA6B4"/>
                <w:sz w:val="17"/>
              </w:rPr>
              <w:t>Técnicas aplicadas hoy. Ejercicios pautados con series y repeticiones. Progresión para la próxima. Criterios de alta o derivación.</w:t>
            </w:r>
          </w:p>
          <w:p/>
          <w:p/>
          <w:p/>
          <w:p/>
        </w:tc>
      </w:tr>
    </w:tbl>
    <w:p/>
    <w:p>
      <w:pPr>
        <w:spacing w:before="320" w:after="120"/>
      </w:pPr>
      <w:r>
        <w:rPr>
          <w:rFonts w:ascii="Calibri" w:hAnsi="Calibri"/>
          <w:b/>
          <w:color w:val="E8620C"/>
          <w:sz w:val="20"/>
        </w:rPr>
        <w:t>TRES REGLAS PARA QUE SIRVA ANTE UNA ASEGURADORA</w:t>
      </w:r>
    </w:p>
    <w:p>
      <w:pPr>
        <w:pStyle w:val="ListBullet"/>
        <w:spacing w:after="60"/>
      </w:pPr>
      <w:r>
        <w:rPr>
          <w:sz w:val="21"/>
        </w:rPr>
        <w:t>Toda medida lleva unidad y método. «Flexión 95 grados, goniómetro» vale; «mejor movilidad» no vale.</w:t>
      </w:r>
    </w:p>
    <w:p>
      <w:pPr>
        <w:pStyle w:val="ListBullet"/>
        <w:spacing w:after="60"/>
      </w:pPr>
      <w:r>
        <w:rPr>
          <w:sz w:val="21"/>
        </w:rPr>
        <w:t>La justificación de continuidad se escribe en la Evaluación, no en el Plan: por qué hacen falta más sesiones.</w:t>
      </w:r>
    </w:p>
    <w:p>
      <w:pPr>
        <w:pStyle w:val="ListBullet"/>
        <w:spacing w:after="60"/>
      </w:pPr>
      <w:r>
        <w:rPr>
          <w:sz w:val="21"/>
        </w:rPr>
        <w:t>Si el paciente no cumple los ejercicios, regístralo. Protege tu criterio cuando el resultado no llega.</w:t>
      </w:r>
    </w:p>
    <w:p>
      <w:pPr>
        <w:spacing w:before="320" w:after="120"/>
      </w:pPr>
      <w:r>
        <w:rPr>
          <w:rFonts w:ascii="Calibri" w:hAnsi="Calibri"/>
          <w:b/>
          <w:color w:val="55647A"/>
          <w:sz w:val="20"/>
        </w:rPr>
        <w:t>ANTES DE USARLA</w:t>
      </w:r>
    </w:p>
    <w:p>
      <w:r>
        <w:rPr>
          <w:i/>
          <w:color w:val="55647A"/>
          <w:sz w:val="18"/>
        </w:rPr>
        <w:t>Esta plantilla es una ayuda de redacción, no una guía clínica ni un criterio diagnóstico. Adáptala a la normativa de tu país, a las exigencias de tu colegio profesional y a tu propio criterio. La nota la firmas tú.</w:t>
      </w:r>
    </w:p>
    <w:p/>
    <w:p>
      <w:pPr>
        <w:jc w:val="center"/>
      </w:pPr>
      <w:r>
        <w:rPr>
          <w:b/>
          <w:color w:val="2E5C98"/>
          <w:sz w:val="18"/>
        </w:rPr>
        <w:t>Corefide  ·  corefide.com</w:t>
      </w:r>
    </w:p>
    <w:sectPr w:rsidR="00FC693F" w:rsidRPr="0006063C" w:rsidSect="00034616">
      <w:pgSz w:w="11906" w:h="16838"/>
      <w:pgMar w:top="1247" w:right="1361" w:bottom="1247"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eastAsia="Calibri"/>
      <w:color w:val="0E1A2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