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0E1A2B"/>
          <w:sz w:val="44"/>
        </w:rPr>
        <w:t>Acta de junta directiva</w:t>
      </w:r>
    </w:p>
    <w:p>
      <w:pPr>
        <w:spacing w:after="320"/>
      </w:pPr>
      <w:r>
        <w:rPr>
          <w:color w:val="55647A"/>
          <w:sz w:val="22"/>
        </w:rPr>
        <w:t>Con matriz de acuerdos  ·  una por sesión del órgano de gobierno</w:t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PARA QUÉ SIRVE ESTA ESTRUCTURA</w:t>
      </w:r>
    </w:p>
    <w:p>
      <w:r>
        <w:rPr>
          <w:i w:val="0"/>
          <w:color w:val="55647A"/>
          <w:sz w:val="20"/>
        </w:rPr>
        <w:t>Un acta que transcribe la conversación es un archivo muerto. Un acta que registra decisiones, con dueño y fecha, es un instrumento de seguimiento. Esta plantilla separa las dos cosas.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96"/>
        <w:gridCol w:w="2296"/>
        <w:gridCol w:w="2296"/>
        <w:gridCol w:w="2296"/>
      </w:tblGrid>
      <w:tr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Órgano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Fecha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Hora inicio / fin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N.º de sesión</w:t>
            </w:r>
          </w:p>
        </w:tc>
      </w:tr>
      <w:tr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</w:tr>
    </w:tbl>
    <w:p/>
    <w:p>
      <w:r>
        <w:rPr>
          <w:i w:val="0"/>
          <w:color w:val="55647A"/>
          <w:sz w:val="18"/>
        </w:rPr>
        <w:t>Asistentes, ausencias justificadas y quórum: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61"/>
        <w:gridCol w:w="3061"/>
        <w:gridCol w:w="3061"/>
      </w:tblGrid>
      <w:tr>
        <w:tc>
          <w:tcPr>
            <w:tcW w:type="dxa" w:w="3061"/>
            <w:shd w:val="clear" w:fill="F6F8FC"/>
          </w:tcPr>
          <w:p>
            <w:r>
              <w:rPr>
                <w:b/>
                <w:color w:val="55647A"/>
                <w:sz w:val="17"/>
              </w:rPr>
              <w:t>Nombre</w:t>
            </w:r>
          </w:p>
        </w:tc>
        <w:tc>
          <w:tcPr>
            <w:tcW w:type="dxa" w:w="3061"/>
            <w:shd w:val="clear" w:fill="F6F8FC"/>
          </w:tcPr>
          <w:p>
            <w:r>
              <w:rPr>
                <w:b/>
                <w:color w:val="55647A"/>
                <w:sz w:val="17"/>
              </w:rPr>
              <w:t>Cargo</w:t>
            </w:r>
          </w:p>
        </w:tc>
        <w:tc>
          <w:tcPr>
            <w:tcW w:type="dxa" w:w="3061"/>
            <w:shd w:val="clear" w:fill="F6F8FC"/>
          </w:tcPr>
          <w:p>
            <w:r>
              <w:rPr>
                <w:b/>
                <w:color w:val="55647A"/>
                <w:sz w:val="17"/>
              </w:rPr>
              <w:t>Asiste / Excusa</w:t>
            </w:r>
          </w:p>
        </w:tc>
      </w:tr>
      <w:tr>
        <w:tc>
          <w:tcPr>
            <w:tcW w:type="dxa" w:w="3061"/>
          </w:tcPr>
          <w:p>
            <w:r>
              <w:t xml:space="preserve"> </w:t>
            </w:r>
          </w:p>
        </w:tc>
        <w:tc>
          <w:tcPr>
            <w:tcW w:type="dxa" w:w="3061"/>
          </w:tcPr>
          <w:p>
            <w:r>
              <w:t xml:space="preserve"> </w:t>
            </w:r>
          </w:p>
        </w:tc>
        <w:tc>
          <w:tcPr>
            <w:tcW w:type="dxa" w:w="3061"/>
          </w:tcPr>
          <w:p>
            <w:r>
              <w:t xml:space="preserve"> </w:t>
            </w:r>
          </w:p>
        </w:tc>
      </w:tr>
      <w:tr>
        <w:tc>
          <w:tcPr>
            <w:tcW w:type="dxa" w:w="3061"/>
          </w:tcPr>
          <w:p>
            <w:r>
              <w:t xml:space="preserve"> </w:t>
            </w:r>
          </w:p>
        </w:tc>
        <w:tc>
          <w:tcPr>
            <w:tcW w:type="dxa" w:w="3061"/>
          </w:tcPr>
          <w:p>
            <w:r>
              <w:t xml:space="preserve"> </w:t>
            </w:r>
          </w:p>
        </w:tc>
        <w:tc>
          <w:tcPr>
            <w:tcW w:type="dxa" w:w="3061"/>
          </w:tcPr>
          <w:p>
            <w:r>
              <w:t xml:space="preserve"> </w:t>
            </w:r>
          </w:p>
        </w:tc>
      </w:tr>
      <w:tr>
        <w:tc>
          <w:tcPr>
            <w:tcW w:type="dxa" w:w="3061"/>
          </w:tcPr>
          <w:p>
            <w:r>
              <w:t xml:space="preserve"> </w:t>
            </w:r>
          </w:p>
        </w:tc>
        <w:tc>
          <w:tcPr>
            <w:tcW w:type="dxa" w:w="3061"/>
          </w:tcPr>
          <w:p>
            <w:r>
              <w:t xml:space="preserve"> </w:t>
            </w:r>
          </w:p>
        </w:tc>
        <w:tc>
          <w:tcPr>
            <w:tcW w:type="dxa" w:w="3061"/>
          </w:tcPr>
          <w:p>
            <w:r>
              <w:t xml:space="preserve"> 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2E5C98"/>
          </w:tcPr>
          <w:p>
            <w:r>
              <w:rPr>
                <w:b/>
                <w:color w:val="FFFFFF"/>
                <w:sz w:val="22"/>
              </w:rPr>
              <w:t xml:space="preserve">  1  ·  SEGUIMIENTO DEL ACTA ANTERIOR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Acuerdos pendientes: cuáles se cumplieron, cuáles no y por qué. Esta sección va PRIMERA a propósito: obliga a rendir cuentas antes de abrir temas nuevos.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E8620C"/>
          </w:tcPr>
          <w:p>
            <w:r>
              <w:rPr>
                <w:b/>
                <w:color w:val="FFFFFF"/>
                <w:sz w:val="22"/>
              </w:rPr>
              <w:t xml:space="preserve">  2  ·  DECISIONES TOMADAS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Una por párrafo. Qué se decidió, con qué razonamiento y con qué votación si la hubo. El razonamiento importa: dentro de un año nadie recordará por qué.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7A5AA8"/>
          </w:tcPr>
          <w:p>
            <w:r>
              <w:rPr>
                <w:b/>
                <w:color w:val="FFFFFF"/>
                <w:sz w:val="22"/>
              </w:rPr>
              <w:t xml:space="preserve">  3  ·  DELIBERADO SIN RESOLUCIÓN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Temas discutidos que quedaron abiertos, y qué falta para cerrarlos. No mezclar con las decisiones.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6B7280"/>
          </w:tcPr>
          <w:p>
            <w:r>
              <w:rPr>
                <w:b/>
                <w:color w:val="FFFFFF"/>
                <w:sz w:val="22"/>
              </w:rPr>
              <w:t xml:space="preserve">  4  ·  INFORMATIVOS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Lo que se comunicó sin someterse a decisión. Va al final porque es lo que menos se consulta después.</w:t>
            </w:r>
          </w:p>
          <w:p/>
          <w:p/>
          <w:p/>
          <w:p/>
        </w:tc>
      </w:tr>
    </w:tbl>
    <w:p/>
    <w:p>
      <w:r>
        <w:br w:type="page"/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5 · MATRIZ DE ACUERDOS</w:t>
      </w:r>
    </w:p>
    <w:p>
      <w:r>
        <w:rPr>
          <w:i w:val="0"/>
          <w:color w:val="55647A"/>
          <w:sz w:val="20"/>
        </w:rPr>
        <w:t>La única parte del acta que se relee. Si un acuerdo no tiene dueño y fecha, no es un acuerdo: es una intención.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37"/>
        <w:gridCol w:w="1837"/>
        <w:gridCol w:w="1837"/>
        <w:gridCol w:w="1837"/>
        <w:gridCol w:w="1837"/>
      </w:tblGrid>
      <w:tr>
        <w:tc>
          <w:tcPr>
            <w:tcW w:type="dxa" w:w="624"/>
            <w:shd w:val="clear" w:fill="FFF1E6"/>
          </w:tcPr>
          <w:p>
            <w:r>
              <w:rPr>
                <w:b/>
                <w:color w:val="E8620C"/>
                <w:sz w:val="18"/>
              </w:rPr>
              <w:t>N.º</w:t>
            </w:r>
          </w:p>
        </w:tc>
        <w:tc>
          <w:tcPr>
            <w:tcW w:type="dxa" w:w="3742"/>
            <w:shd w:val="clear" w:fill="FFF1E6"/>
          </w:tcPr>
          <w:p>
            <w:r>
              <w:rPr>
                <w:b/>
                <w:color w:val="E8620C"/>
                <w:sz w:val="18"/>
              </w:rPr>
              <w:t>Acuerdo</w:t>
            </w:r>
          </w:p>
        </w:tc>
        <w:tc>
          <w:tcPr>
            <w:tcW w:type="dxa" w:w="1814"/>
            <w:shd w:val="clear" w:fill="FFF1E6"/>
          </w:tcPr>
          <w:p>
            <w:r>
              <w:rPr>
                <w:b/>
                <w:color w:val="E8620C"/>
                <w:sz w:val="18"/>
              </w:rPr>
              <w:t>Responsable</w:t>
            </w:r>
          </w:p>
        </w:tc>
        <w:tc>
          <w:tcPr>
            <w:tcW w:type="dxa" w:w="1474"/>
            <w:shd w:val="clear" w:fill="FFF1E6"/>
          </w:tcPr>
          <w:p>
            <w:r>
              <w:rPr>
                <w:b/>
                <w:color w:val="E8620C"/>
                <w:sz w:val="18"/>
              </w:rPr>
              <w:t>Fecha límite</w:t>
            </w:r>
          </w:p>
        </w:tc>
        <w:tc>
          <w:tcPr>
            <w:tcW w:type="dxa" w:w="1417"/>
            <w:shd w:val="clear" w:fill="FFF1E6"/>
          </w:tcPr>
          <w:p>
            <w:r>
              <w:rPr>
                <w:b/>
                <w:color w:val="E8620C"/>
                <w:sz w:val="18"/>
              </w:rPr>
              <w:t>Estado</w:t>
            </w:r>
          </w:p>
        </w:tc>
      </w:tr>
      <w:tr>
        <w:tc>
          <w:tcPr>
            <w:tcW w:type="dxa" w:w="624"/>
          </w:tcPr>
          <w:p>
            <w:r>
              <w:t xml:space="preserve"> </w:t>
            </w:r>
          </w:p>
        </w:tc>
        <w:tc>
          <w:tcPr>
            <w:tcW w:type="dxa" w:w="3742"/>
          </w:tcPr>
          <w:p>
            <w:r>
              <w:t xml:space="preserve"> </w:t>
            </w:r>
          </w:p>
        </w:tc>
        <w:tc>
          <w:tcPr>
            <w:tcW w:type="dxa" w:w="1814"/>
          </w:tcPr>
          <w:p>
            <w:r>
              <w:t xml:space="preserve"> </w:t>
            </w:r>
          </w:p>
        </w:tc>
        <w:tc>
          <w:tcPr>
            <w:tcW w:type="dxa" w:w="1474"/>
          </w:tcPr>
          <w:p>
            <w:r>
              <w:t xml:space="preserve"> </w:t>
            </w:r>
          </w:p>
        </w:tc>
        <w:tc>
          <w:tcPr>
            <w:tcW w:type="dxa" w:w="1417"/>
          </w:tcPr>
          <w:p>
            <w:r>
              <w:t xml:space="preserve"> </w:t>
            </w:r>
          </w:p>
        </w:tc>
      </w:tr>
      <w:tr>
        <w:tc>
          <w:tcPr>
            <w:tcW w:type="dxa" w:w="624"/>
          </w:tcPr>
          <w:p>
            <w:r>
              <w:t xml:space="preserve"> </w:t>
            </w:r>
          </w:p>
        </w:tc>
        <w:tc>
          <w:tcPr>
            <w:tcW w:type="dxa" w:w="3742"/>
          </w:tcPr>
          <w:p>
            <w:r>
              <w:t xml:space="preserve"> </w:t>
            </w:r>
          </w:p>
        </w:tc>
        <w:tc>
          <w:tcPr>
            <w:tcW w:type="dxa" w:w="1814"/>
          </w:tcPr>
          <w:p>
            <w:r>
              <w:t xml:space="preserve"> </w:t>
            </w:r>
          </w:p>
        </w:tc>
        <w:tc>
          <w:tcPr>
            <w:tcW w:type="dxa" w:w="1474"/>
          </w:tcPr>
          <w:p>
            <w:r>
              <w:t xml:space="preserve"> </w:t>
            </w:r>
          </w:p>
        </w:tc>
        <w:tc>
          <w:tcPr>
            <w:tcW w:type="dxa" w:w="1417"/>
          </w:tcPr>
          <w:p>
            <w:r>
              <w:t xml:space="preserve"> </w:t>
            </w:r>
          </w:p>
        </w:tc>
      </w:tr>
      <w:tr>
        <w:tc>
          <w:tcPr>
            <w:tcW w:type="dxa" w:w="624"/>
          </w:tcPr>
          <w:p>
            <w:r>
              <w:t xml:space="preserve"> </w:t>
            </w:r>
          </w:p>
        </w:tc>
        <w:tc>
          <w:tcPr>
            <w:tcW w:type="dxa" w:w="3742"/>
          </w:tcPr>
          <w:p>
            <w:r>
              <w:t xml:space="preserve"> </w:t>
            </w:r>
          </w:p>
        </w:tc>
        <w:tc>
          <w:tcPr>
            <w:tcW w:type="dxa" w:w="1814"/>
          </w:tcPr>
          <w:p>
            <w:r>
              <w:t xml:space="preserve"> </w:t>
            </w:r>
          </w:p>
        </w:tc>
        <w:tc>
          <w:tcPr>
            <w:tcW w:type="dxa" w:w="1474"/>
          </w:tcPr>
          <w:p>
            <w:r>
              <w:t xml:space="preserve"> </w:t>
            </w:r>
          </w:p>
        </w:tc>
        <w:tc>
          <w:tcPr>
            <w:tcW w:type="dxa" w:w="1417"/>
          </w:tcPr>
          <w:p>
            <w:r>
              <w:t xml:space="preserve"> </w:t>
            </w:r>
          </w:p>
        </w:tc>
      </w:tr>
      <w:tr>
        <w:tc>
          <w:tcPr>
            <w:tcW w:type="dxa" w:w="624"/>
          </w:tcPr>
          <w:p>
            <w:r>
              <w:t xml:space="preserve"> </w:t>
            </w:r>
          </w:p>
        </w:tc>
        <w:tc>
          <w:tcPr>
            <w:tcW w:type="dxa" w:w="3742"/>
          </w:tcPr>
          <w:p>
            <w:r>
              <w:t xml:space="preserve"> </w:t>
            </w:r>
          </w:p>
        </w:tc>
        <w:tc>
          <w:tcPr>
            <w:tcW w:type="dxa" w:w="1814"/>
          </w:tcPr>
          <w:p>
            <w:r>
              <w:t xml:space="preserve"> </w:t>
            </w:r>
          </w:p>
        </w:tc>
        <w:tc>
          <w:tcPr>
            <w:tcW w:type="dxa" w:w="1474"/>
          </w:tcPr>
          <w:p>
            <w:r>
              <w:t xml:space="preserve"> </w:t>
            </w:r>
          </w:p>
        </w:tc>
        <w:tc>
          <w:tcPr>
            <w:tcW w:type="dxa" w:w="1417"/>
          </w:tcPr>
          <w:p>
            <w:r>
              <w:t xml:space="preserve"> </w:t>
            </w:r>
          </w:p>
        </w:tc>
      </w:tr>
      <w:tr>
        <w:tc>
          <w:tcPr>
            <w:tcW w:type="dxa" w:w="624"/>
          </w:tcPr>
          <w:p>
            <w:r>
              <w:t xml:space="preserve"> </w:t>
            </w:r>
          </w:p>
        </w:tc>
        <w:tc>
          <w:tcPr>
            <w:tcW w:type="dxa" w:w="3742"/>
          </w:tcPr>
          <w:p>
            <w:r>
              <w:t xml:space="preserve"> </w:t>
            </w:r>
          </w:p>
        </w:tc>
        <w:tc>
          <w:tcPr>
            <w:tcW w:type="dxa" w:w="1814"/>
          </w:tcPr>
          <w:p>
            <w:r>
              <w:t xml:space="preserve"> </w:t>
            </w:r>
          </w:p>
        </w:tc>
        <w:tc>
          <w:tcPr>
            <w:tcW w:type="dxa" w:w="1474"/>
          </w:tcPr>
          <w:p>
            <w:r>
              <w:t xml:space="preserve"> </w:t>
            </w:r>
          </w:p>
        </w:tc>
        <w:tc>
          <w:tcPr>
            <w:tcW w:type="dxa" w:w="1417"/>
          </w:tcPr>
          <w:p>
            <w:r>
              <w:t xml:space="preserve"> </w:t>
            </w:r>
          </w:p>
        </w:tc>
      </w:tr>
      <w:tr>
        <w:tc>
          <w:tcPr>
            <w:tcW w:type="dxa" w:w="624"/>
          </w:tcPr>
          <w:p>
            <w:r>
              <w:t xml:space="preserve"> </w:t>
            </w:r>
          </w:p>
        </w:tc>
        <w:tc>
          <w:tcPr>
            <w:tcW w:type="dxa" w:w="3742"/>
          </w:tcPr>
          <w:p>
            <w:r>
              <w:t xml:space="preserve"> </w:t>
            </w:r>
          </w:p>
        </w:tc>
        <w:tc>
          <w:tcPr>
            <w:tcW w:type="dxa" w:w="1814"/>
          </w:tcPr>
          <w:p>
            <w:r>
              <w:t xml:space="preserve"> </w:t>
            </w:r>
          </w:p>
        </w:tc>
        <w:tc>
          <w:tcPr>
            <w:tcW w:type="dxa" w:w="1474"/>
          </w:tcPr>
          <w:p>
            <w:r>
              <w:t xml:space="preserve"> </w:t>
            </w:r>
          </w:p>
        </w:tc>
        <w:tc>
          <w:tcPr>
            <w:tcW w:type="dxa" w:w="1417"/>
          </w:tcPr>
          <w:p>
            <w:r>
              <w:t xml:space="preserve"> </w:t>
            </w:r>
          </w:p>
        </w:tc>
      </w:tr>
    </w:tbl>
    <w:p/>
    <w:p>
      <w:r>
        <w:rPr>
          <w:i/>
          <w:color w:val="55647A"/>
          <w:sz w:val="18"/>
        </w:rPr>
        <w:t>Estado: Pendiente · En curso · Cumplido · Cancelado. Se copia tal cual a la sección 1 del acta siguiente.</w:t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LOS 7 ERRORES QUE VUELVEN INÚTIL UN ACTA</w:t>
      </w:r>
    </w:p>
    <w:p>
      <w:pPr>
        <w:spacing w:before="200" w:after="40"/>
      </w:pPr>
      <w:r>
        <w:rPr>
          <w:b/>
          <w:color w:val="0E1A2B"/>
          <w:sz w:val="21"/>
        </w:rPr>
        <w:t>1 · Transcribir en vez de registrar decisiones</w:t>
      </w:r>
    </w:p>
    <w:p>
      <w:r>
        <w:rPr>
          <w:i w:val="0"/>
          <w:color w:val="55647A"/>
          <w:sz w:val="19"/>
        </w:rPr>
        <w:t>El acta no es un guion. Nadie relee doce páginas de conversación.</w:t>
      </w:r>
    </w:p>
    <w:p>
      <w:pPr>
        <w:spacing w:before="200" w:after="40"/>
      </w:pPr>
      <w:r>
        <w:rPr>
          <w:b/>
          <w:color w:val="0E1A2B"/>
          <w:sz w:val="21"/>
        </w:rPr>
        <w:t>2 · Acuerdos sin dueño</w:t>
      </w:r>
    </w:p>
    <w:p>
      <w:r>
        <w:rPr>
          <w:i w:val="0"/>
          <w:color w:val="55647A"/>
          <w:sz w:val="19"/>
        </w:rPr>
        <w:t>«El equipo revisará» no es asignar. Un acuerdo tiene un nombre propio.</w:t>
      </w:r>
    </w:p>
    <w:p>
      <w:pPr>
        <w:spacing w:before="200" w:after="40"/>
      </w:pPr>
      <w:r>
        <w:rPr>
          <w:b/>
          <w:color w:val="0E1A2B"/>
          <w:sz w:val="21"/>
        </w:rPr>
        <w:t>3 · No distinguir decisión de discusión</w:t>
      </w:r>
    </w:p>
    <w:p>
      <w:r>
        <w:rPr>
          <w:i w:val="0"/>
          <w:color w:val="55647A"/>
          <w:sz w:val="19"/>
        </w:rPr>
        <w:t>Si todo va en el mismo bloque, nada destaca y el lector abandona.</w:t>
      </w:r>
    </w:p>
    <w:p>
      <w:pPr>
        <w:spacing w:before="200" w:after="40"/>
      </w:pPr>
      <w:r>
        <w:rPr>
          <w:b/>
          <w:color w:val="0E1A2B"/>
          <w:sz w:val="21"/>
        </w:rPr>
        <w:t>4 · Omitir el razonamiento</w:t>
      </w:r>
    </w:p>
    <w:p>
      <w:r>
        <w:rPr>
          <w:i w:val="0"/>
          <w:color w:val="55647A"/>
          <w:sz w:val="19"/>
        </w:rPr>
        <w:t>Sin el porqué, en seis meses se vuelve a discutir lo mismo.</w:t>
      </w:r>
    </w:p>
    <w:p>
      <w:pPr>
        <w:spacing w:before="200" w:after="40"/>
      </w:pPr>
      <w:r>
        <w:rPr>
          <w:b/>
          <w:color w:val="0E1A2B"/>
          <w:sz w:val="21"/>
        </w:rPr>
        <w:t>5 · Redactarla días después</w:t>
      </w:r>
    </w:p>
    <w:p>
      <w:r>
        <w:rPr>
          <w:i w:val="0"/>
          <w:color w:val="55647A"/>
          <w:sz w:val="19"/>
        </w:rPr>
        <w:t>A las 72 horas se reconstruye de memoria y aparecen los matices falsos.</w:t>
      </w:r>
    </w:p>
    <w:p>
      <w:pPr>
        <w:spacing w:before="200" w:after="40"/>
      </w:pPr>
      <w:r>
        <w:rPr>
          <w:b/>
          <w:color w:val="0E1A2B"/>
          <w:sz w:val="21"/>
        </w:rPr>
        <w:t>6 · Cambiar de formato cada vez</w:t>
      </w:r>
    </w:p>
    <w:p>
      <w:r>
        <w:rPr>
          <w:i w:val="0"/>
          <w:color w:val="55647A"/>
          <w:sz w:val="19"/>
        </w:rPr>
        <w:t>Impide comparar sesiones y buscar un acuerdo concreto.</w:t>
      </w:r>
    </w:p>
    <w:p>
      <w:pPr>
        <w:spacing w:before="200" w:after="40"/>
      </w:pPr>
      <w:r>
        <w:rPr>
          <w:b/>
          <w:color w:val="0E1A2B"/>
          <w:sz w:val="21"/>
        </w:rPr>
        <w:t>7 · Tratarla como trámite legal</w:t>
      </w:r>
    </w:p>
    <w:p>
      <w:r>
        <w:rPr>
          <w:i w:val="0"/>
          <w:color w:val="55647A"/>
          <w:sz w:val="19"/>
        </w:rPr>
        <w:t>Cumple la ley y no sirve para nada más. Es una oportunidad perdida.</w:t>
      </w:r>
    </w:p>
    <w:p>
      <w:pPr>
        <w:spacing w:before="320" w:after="120"/>
      </w:pPr>
      <w:r>
        <w:rPr>
          <w:rFonts w:ascii="Calibri" w:hAnsi="Calibri"/>
          <w:b/>
          <w:color w:val="55647A"/>
          <w:sz w:val="20"/>
        </w:rPr>
        <w:t>FIRMA Y APROBACIÓN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92"/>
        <w:gridCol w:w="4592"/>
      </w:tblGrid>
      <w:tr>
        <w:tc>
          <w:tcPr>
            <w:tcW w:type="dxa" w:w="4592"/>
            <w:shd w:val="clear" w:fill="F6F8FC"/>
          </w:tcPr>
          <w:p>
            <w:r>
              <w:rPr>
                <w:b/>
                <w:color w:val="55647A"/>
                <w:sz w:val="17"/>
              </w:rPr>
              <w:t>Secretario/a  ·  redactó</w:t>
            </w:r>
          </w:p>
        </w:tc>
        <w:tc>
          <w:tcPr>
            <w:tcW w:type="dxa" w:w="4592"/>
            <w:shd w:val="clear" w:fill="F6F8FC"/>
          </w:tcPr>
          <w:p>
            <w:r>
              <w:rPr>
                <w:b/>
                <w:color w:val="55647A"/>
                <w:sz w:val="17"/>
              </w:rPr>
              <w:t>Presidente/a  ·  aprobó</w:t>
            </w:r>
          </w:p>
        </w:tc>
      </w:tr>
      <w:tr>
        <w:tc>
          <w:tcPr>
            <w:tcW w:type="dxa" w:w="4592"/>
          </w:tcPr>
          <w:p/>
          <w:p/>
          <w:p/>
          <w:p/>
        </w:tc>
        <w:tc>
          <w:tcPr>
            <w:tcW w:type="dxa" w:w="4592"/>
          </w:tcPr>
          <w:p/>
          <w:p/>
          <w:p/>
          <w:p/>
        </w:tc>
      </w:tr>
    </w:tbl>
    <w:p>
      <w:pPr>
        <w:spacing w:before="320" w:after="120"/>
      </w:pPr>
      <w:r>
        <w:rPr>
          <w:rFonts w:ascii="Calibri" w:hAnsi="Calibri"/>
          <w:b/>
          <w:color w:val="55647A"/>
          <w:sz w:val="20"/>
        </w:rPr>
        <w:t>ANTES DE USARLA</w:t>
      </w:r>
    </w:p>
    <w:p>
      <w:r>
        <w:rPr>
          <w:i/>
          <w:color w:val="55647A"/>
          <w:sz w:val="18"/>
        </w:rPr>
        <w:t>Esta plantilla es una ayuda de redacción, no una guía clínica ni un criterio diagnóstico. Adáptala a la normativa de tu país, a las exigencias de tu colegio profesional y a tu propio criterio. La nota la firmas tú.</w:t>
      </w:r>
    </w:p>
    <w:p/>
    <w:p>
      <w:pPr>
        <w:jc w:val="center"/>
      </w:pPr>
      <w:r>
        <w:rPr>
          <w:b/>
          <w:color w:val="2E5C98"/>
          <w:sz w:val="18"/>
        </w:rPr>
        <w:t>Corefide  ·  corefide.com</w:t>
      </w:r>
    </w:p>
    <w:p>
      <w:pPr>
        <w:jc w:val="center"/>
      </w:pPr>
      <w:r>
        <w:rPr>
          <w:color w:val="55647A"/>
          <w:sz w:val="16"/>
        </w:rPr>
        <w:t>Adapta la estructura a los estatutos de tu organización.</w:t>
      </w:r>
    </w:p>
    <w:sectPr w:rsidR="00FC693F" w:rsidRPr="0006063C" w:rsidSect="00034616">
      <w:pgSz w:w="11906" w:h="16838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 w:eastAsia="Calibri"/>
      <w:color w:val="0E1A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